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9C" w:rsidRDefault="00AA389C" w:rsidP="008C53CE">
      <w:pPr>
        <w:pStyle w:val="a3"/>
        <w:ind w:firstLine="720"/>
        <w:outlineLvl w:val="0"/>
        <w:rPr>
          <w:sz w:val="24"/>
        </w:rPr>
      </w:pPr>
      <w:r>
        <w:rPr>
          <w:sz w:val="24"/>
        </w:rPr>
        <w:t>ПРОТОКОЛ</w:t>
      </w:r>
    </w:p>
    <w:p w:rsidR="00AA389C" w:rsidRDefault="00AA389C" w:rsidP="008C53CE">
      <w:pPr>
        <w:pStyle w:val="a4"/>
        <w:outlineLvl w:val="0"/>
        <w:rPr>
          <w:bCs/>
          <w:sz w:val="24"/>
        </w:rPr>
      </w:pPr>
      <w:r>
        <w:rPr>
          <w:bCs/>
          <w:sz w:val="24"/>
        </w:rPr>
        <w:t>Заседания Комиссии по аккредитации</w:t>
      </w:r>
    </w:p>
    <w:p w:rsidR="00AA389C" w:rsidRDefault="00AA389C" w:rsidP="008C53CE">
      <w:pPr>
        <w:jc w:val="center"/>
        <w:outlineLvl w:val="0"/>
      </w:pPr>
      <w:r>
        <w:t xml:space="preserve">Единой системы оценки соответствия в области промышленной, экологической безопасности, </w:t>
      </w:r>
    </w:p>
    <w:p w:rsidR="00AA389C" w:rsidRDefault="00AA389C" w:rsidP="008C53CE">
      <w:pPr>
        <w:jc w:val="center"/>
        <w:outlineLvl w:val="0"/>
      </w:pPr>
      <w:r>
        <w:t>безопасности в энергетике и строительстве</w:t>
      </w:r>
    </w:p>
    <w:p w:rsidR="00AA389C" w:rsidRDefault="00AA389C"/>
    <w:p w:rsidR="00AA389C" w:rsidRDefault="00046976">
      <w:pPr>
        <w:rPr>
          <w:bCs/>
          <w:sz w:val="28"/>
        </w:rPr>
      </w:pPr>
      <w:r>
        <w:rPr>
          <w:bCs/>
          <w:sz w:val="28"/>
        </w:rPr>
        <w:t>26.12.2025</w:t>
      </w:r>
    </w:p>
    <w:p w:rsidR="00AA389C" w:rsidRDefault="00AA389C">
      <w:pPr>
        <w:ind w:right="350"/>
        <w:jc w:val="right"/>
        <w:rPr>
          <w:sz w:val="28"/>
        </w:rPr>
      </w:pPr>
      <w:r>
        <w:rPr>
          <w:sz w:val="28"/>
        </w:rPr>
        <w:t>№ СДА-КА–</w:t>
      </w:r>
      <w:r w:rsidR="00046976">
        <w:rPr>
          <w:sz w:val="28"/>
        </w:rPr>
        <w:t>291-ИЛ ЭЛ-7</w:t>
      </w:r>
    </w:p>
    <w:p w:rsidR="0074080D" w:rsidRDefault="0074080D">
      <w:pPr>
        <w:rPr>
          <w:b/>
          <w:bCs/>
          <w:sz w:val="28"/>
        </w:rPr>
      </w:pPr>
    </w:p>
    <w:p w:rsidR="00AA389C" w:rsidRPr="0074080D" w:rsidRDefault="00AA389C">
      <w:pPr>
        <w:rPr>
          <w:bCs/>
          <w:sz w:val="28"/>
        </w:rPr>
      </w:pPr>
      <w:r w:rsidRPr="0074080D">
        <w:rPr>
          <w:bCs/>
          <w:sz w:val="28"/>
        </w:rPr>
        <w:t xml:space="preserve">Повестка дня:  рассмотрение документов на аккредитацию в качестве испытательных лабораторий – </w:t>
      </w:r>
      <w:r w:rsidRPr="0074080D">
        <w:rPr>
          <w:bCs/>
          <w:iCs/>
          <w:sz w:val="28"/>
        </w:rPr>
        <w:t xml:space="preserve">электролабораторий </w:t>
      </w:r>
      <w:r w:rsidRPr="0074080D">
        <w:rPr>
          <w:bCs/>
          <w:sz w:val="28"/>
        </w:rPr>
        <w:t>(ИЛ-ЭЛ) Единой системы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126"/>
        <w:gridCol w:w="2977"/>
        <w:gridCol w:w="3260"/>
        <w:gridCol w:w="2268"/>
      </w:tblGrid>
      <w:tr w:rsidR="00E36A1D" w:rsidTr="00E36A1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36A1D" w:rsidRDefault="00046976">
            <w:pPr>
              <w:tabs>
                <w:tab w:val="left" w:pos="12049"/>
              </w:tabs>
            </w:pPr>
            <w:r>
              <w:t>Решение комиссии</w:t>
            </w:r>
          </w:p>
        </w:tc>
      </w:tr>
      <w:tr w:rsidR="00E36A1D" w:rsidTr="00046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36A1D" w:rsidRDefault="00E36A1D">
            <w:pPr>
              <w:tabs>
                <w:tab w:val="left" w:pos="12049"/>
              </w:tabs>
              <w:jc w:val="center"/>
            </w:pPr>
          </w:p>
        </w:tc>
      </w:tr>
      <w:tr w:rsidR="00E36A1D" w:rsidTr="00046976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3936" w:type="dxa"/>
          </w:tcPr>
          <w:p w:rsidR="00E36A1D" w:rsidRPr="00046976" w:rsidRDefault="00E36A1D">
            <w:pPr>
              <w:tabs>
                <w:tab w:val="left" w:pos="12049"/>
              </w:tabs>
              <w:rPr>
                <w:sz w:val="28"/>
              </w:rPr>
            </w:pPr>
            <w:r w:rsidRPr="00046976">
              <w:rPr>
                <w:sz w:val="28"/>
              </w:rPr>
              <w:t xml:space="preserve"> </w:t>
            </w:r>
            <w:r w:rsidR="00046976" w:rsidRPr="00046976">
              <w:rPr>
                <w:sz w:val="28"/>
              </w:rPr>
              <w:t>1</w:t>
            </w:r>
            <w:r w:rsidRPr="00046976">
              <w:rPr>
                <w:sz w:val="28"/>
              </w:rPr>
              <w:t xml:space="preserve">. </w:t>
            </w:r>
            <w:r w:rsidR="00046976" w:rsidRPr="00046976">
              <w:rPr>
                <w:sz w:val="28"/>
              </w:rPr>
              <w:t>Общество с ограниченной ответственностью "ПрофЭнергоАльянс"</w:t>
            </w:r>
          </w:p>
          <w:p w:rsidR="00E36A1D" w:rsidRPr="00046976" w:rsidRDefault="00E36A1D">
            <w:pPr>
              <w:tabs>
                <w:tab w:val="left" w:pos="12049"/>
              </w:tabs>
              <w:rPr>
                <w:sz w:val="28"/>
              </w:rPr>
            </w:pPr>
          </w:p>
          <w:p w:rsidR="00E36A1D" w:rsidRDefault="00046976">
            <w:pPr>
              <w:tabs>
                <w:tab w:val="left" w:pos="12049"/>
              </w:tabs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ООО "ПЭА"</w:t>
            </w:r>
            <w:r w:rsidR="00E36A1D">
              <w:rPr>
                <w:sz w:val="28"/>
                <w:lang w:val="en-US"/>
              </w:rPr>
              <w:t xml:space="preserve"> </w:t>
            </w:r>
            <w:r w:rsidR="00E36A1D" w:rsidRPr="0074080D">
              <w:rPr>
                <w:bCs/>
                <w:color w:val="000000"/>
                <w:sz w:val="28"/>
                <w:lang w:val="en-US"/>
              </w:rPr>
              <w:t>(</w:t>
            </w:r>
            <w:r>
              <w:rPr>
                <w:bCs/>
                <w:color w:val="000000"/>
                <w:sz w:val="28"/>
                <w:lang w:val="en-US"/>
              </w:rPr>
              <w:t>ПРВ</w:t>
            </w:r>
            <w:r w:rsidR="00E36A1D" w:rsidRPr="0074080D">
              <w:rPr>
                <w:bCs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046976" w:rsidRDefault="00046976">
            <w:pPr>
              <w:tabs>
                <w:tab w:val="left" w:pos="12049"/>
              </w:tabs>
              <w:rPr>
                <w:color w:val="000000"/>
                <w:sz w:val="28"/>
              </w:rPr>
            </w:pPr>
            <w:r w:rsidRPr="00046976">
              <w:rPr>
                <w:color w:val="000000"/>
                <w:sz w:val="28"/>
              </w:rPr>
              <w:t>400021</w:t>
            </w:r>
            <w:r w:rsidR="00E36A1D" w:rsidRPr="00046976">
              <w:rPr>
                <w:color w:val="000000"/>
                <w:sz w:val="28"/>
              </w:rPr>
              <w:t xml:space="preserve">, </w:t>
            </w:r>
            <w:r w:rsidRPr="00046976">
              <w:rPr>
                <w:color w:val="000000"/>
                <w:sz w:val="28"/>
              </w:rPr>
              <w:t xml:space="preserve">Российская Федерация, </w:t>
            </w:r>
          </w:p>
          <w:p w:rsidR="00E36A1D" w:rsidRPr="00046976" w:rsidRDefault="00046976">
            <w:pPr>
              <w:tabs>
                <w:tab w:val="left" w:pos="12049"/>
              </w:tabs>
              <w:rPr>
                <w:sz w:val="28"/>
              </w:rPr>
            </w:pPr>
            <w:r w:rsidRPr="00046976">
              <w:rPr>
                <w:color w:val="000000"/>
                <w:sz w:val="28"/>
              </w:rPr>
              <w:t>г. Волгоград, ул. им. Воронкова, влд. 76а, офис 4</w:t>
            </w:r>
          </w:p>
        </w:tc>
        <w:tc>
          <w:tcPr>
            <w:tcW w:w="2977" w:type="dxa"/>
          </w:tcPr>
          <w:p w:rsidR="00E36A1D" w:rsidRDefault="00046976">
            <w:pPr>
              <w:tabs>
                <w:tab w:val="left" w:pos="12049"/>
              </w:tabs>
              <w:rPr>
                <w:sz w:val="28"/>
              </w:rPr>
            </w:pPr>
            <w:r>
              <w:rPr>
                <w:sz w:val="28"/>
              </w:rPr>
              <w:t>АО "НТЦ "Промышленная безопасность"</w:t>
            </w:r>
          </w:p>
        </w:tc>
        <w:tc>
          <w:tcPr>
            <w:tcW w:w="3260" w:type="dxa"/>
          </w:tcPr>
          <w:p w:rsidR="00E36A1D" w:rsidRDefault="00046976">
            <w:pPr>
              <w:tabs>
                <w:tab w:val="left" w:pos="12049"/>
              </w:tabs>
              <w:rPr>
                <w:sz w:val="28"/>
              </w:rPr>
            </w:pPr>
            <w:r>
              <w:rPr>
                <w:sz w:val="28"/>
              </w:rPr>
              <w:t>109147</w:t>
            </w:r>
            <w:r w:rsidR="00E36A1D">
              <w:rPr>
                <w:sz w:val="28"/>
              </w:rPr>
              <w:t xml:space="preserve">, </w:t>
            </w:r>
            <w:r>
              <w:rPr>
                <w:sz w:val="28"/>
              </w:rPr>
              <w:t>Российская Федерация, г. Москва, ул. Таганская, д. 34А</w:t>
            </w:r>
          </w:p>
        </w:tc>
        <w:tc>
          <w:tcPr>
            <w:tcW w:w="2268" w:type="dxa"/>
          </w:tcPr>
          <w:p w:rsidR="00E36A1D" w:rsidRDefault="00046976">
            <w:pPr>
              <w:pStyle w:val="1"/>
            </w:pPr>
            <w:r>
              <w:t>Аккредитовать</w:t>
            </w:r>
          </w:p>
          <w:p w:rsidR="00E36A1D" w:rsidRDefault="00E36A1D">
            <w:pPr>
              <w:pStyle w:val="1"/>
            </w:pPr>
          </w:p>
        </w:tc>
      </w:tr>
    </w:tbl>
    <w:p w:rsidR="00AA389C" w:rsidRPr="0074080D" w:rsidRDefault="00AA389C">
      <w:pPr>
        <w:pStyle w:val="2"/>
        <w:tabs>
          <w:tab w:val="left" w:pos="12049"/>
        </w:tabs>
        <w:rPr>
          <w:b w:val="0"/>
          <w:bCs/>
        </w:rPr>
      </w:pPr>
    </w:p>
    <w:p w:rsidR="00AA389C" w:rsidRPr="0074080D" w:rsidRDefault="00AA389C" w:rsidP="008C53CE">
      <w:pPr>
        <w:pStyle w:val="2"/>
        <w:tabs>
          <w:tab w:val="left" w:pos="12049"/>
        </w:tabs>
        <w:outlineLvl w:val="0"/>
        <w:rPr>
          <w:b w:val="0"/>
          <w:bCs/>
        </w:rPr>
      </w:pPr>
      <w:r w:rsidRPr="0074080D">
        <w:rPr>
          <w:b w:val="0"/>
          <w:bCs/>
        </w:rPr>
        <w:t>Решение комиссии по аккредитации:</w:t>
      </w:r>
    </w:p>
    <w:p w:rsidR="00AA389C" w:rsidRDefault="00AA389C" w:rsidP="008C53CE">
      <w:pPr>
        <w:tabs>
          <w:tab w:val="left" w:pos="12049"/>
        </w:tabs>
        <w:outlineLvl w:val="0"/>
      </w:pPr>
      <w:r>
        <w:t xml:space="preserve">Аккредитовать в Единой системе следующие организации: </w:t>
      </w:r>
    </w:p>
    <w:p w:rsidR="00AA389C" w:rsidRDefault="00AA389C">
      <w:pPr>
        <w:tabs>
          <w:tab w:val="left" w:pos="12049"/>
        </w:tabs>
        <w:ind w:left="360"/>
        <w:rPr>
          <w:lang w:val="en-US"/>
        </w:rPr>
      </w:pPr>
      <w:r w:rsidRPr="008C53CE">
        <w:t xml:space="preserve"> </w:t>
      </w:r>
      <w:r w:rsidR="00046976">
        <w:t>1</w:t>
      </w:r>
      <w:r>
        <w:rPr>
          <w:lang w:val="en-US"/>
        </w:rPr>
        <w:t xml:space="preserve">. </w:t>
      </w:r>
      <w:r w:rsidR="00046976">
        <w:rPr>
          <w:lang w:val="en-US"/>
        </w:rPr>
        <w:t>ООО "ПЭА"</w:t>
      </w:r>
    </w:p>
    <w:p w:rsidR="00AA389C" w:rsidRDefault="00AA389C">
      <w:pPr>
        <w:tabs>
          <w:tab w:val="left" w:pos="12049"/>
        </w:tabs>
      </w:pPr>
      <w:r>
        <w:t>Области аккредитации: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220"/>
        <w:gridCol w:w="8460"/>
      </w:tblGrid>
      <w:tr w:rsidR="00AA389C">
        <w:tc>
          <w:tcPr>
            <w:tcW w:w="900" w:type="dxa"/>
          </w:tcPr>
          <w:p w:rsidR="00AA389C" w:rsidRDefault="00AA38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Style w:val="a8"/>
                <w:b w:val="0"/>
                <w:sz w:val="18"/>
                <w:szCs w:val="18"/>
              </w:rPr>
              <w:t>№ п/п</w:t>
            </w:r>
          </w:p>
        </w:tc>
        <w:tc>
          <w:tcPr>
            <w:tcW w:w="5220" w:type="dxa"/>
          </w:tcPr>
          <w:p w:rsidR="00AA389C" w:rsidRDefault="00AA389C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rStyle w:val="a8"/>
                <w:b w:val="0"/>
                <w:sz w:val="18"/>
                <w:szCs w:val="18"/>
              </w:rPr>
              <w:t>Объект (техническое устройство)</w:t>
            </w:r>
          </w:p>
        </w:tc>
        <w:tc>
          <w:tcPr>
            <w:tcW w:w="8460" w:type="dxa"/>
          </w:tcPr>
          <w:p w:rsidR="00AA389C" w:rsidRDefault="00AA389C">
            <w:pPr>
              <w:ind w:left="72" w:right="72"/>
              <w:jc w:val="center"/>
              <w:rPr>
                <w:b/>
                <w:sz w:val="18"/>
                <w:szCs w:val="18"/>
              </w:rPr>
            </w:pPr>
            <w:r>
              <w:rPr>
                <w:rStyle w:val="a8"/>
                <w:b w:val="0"/>
                <w:sz w:val="18"/>
                <w:szCs w:val="18"/>
              </w:rPr>
              <w:t>Используемые методы измерений, испытаний, проверок (контроля, анализа)</w:t>
            </w:r>
          </w:p>
        </w:tc>
      </w:tr>
      <w:tr w:rsidR="00AA389C">
        <w:trPr>
          <w:cantSplit/>
        </w:trPr>
        <w:tc>
          <w:tcPr>
            <w:tcW w:w="900" w:type="dxa"/>
            <w:vMerge w:val="restart"/>
          </w:tcPr>
          <w:p w:rsidR="00AA389C" w:rsidRDefault="00AA389C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="00046976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5220" w:type="dxa"/>
            <w:vMerge w:val="restart"/>
          </w:tcPr>
          <w:p w:rsidR="00AA389C" w:rsidRDefault="00046976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Трансформаторы тока</w:t>
            </w:r>
          </w:p>
        </w:tc>
        <w:tc>
          <w:tcPr>
            <w:tcW w:w="8460" w:type="dxa"/>
          </w:tcPr>
          <w:p w:rsidR="00AA389C" w:rsidRDefault="00AA389C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046976">
              <w:rPr>
                <w:sz w:val="22"/>
                <w:szCs w:val="22"/>
                <w:lang w:val="en-US"/>
              </w:rPr>
              <w:t>5.1.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046976"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AA389C">
        <w:trPr>
          <w:cantSplit/>
        </w:trPr>
        <w:tc>
          <w:tcPr>
            <w:tcW w:w="900" w:type="dxa"/>
            <w:vMerge/>
          </w:tcPr>
          <w:p w:rsidR="00AA389C" w:rsidRDefault="00AA389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AA389C" w:rsidRDefault="00AA389C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AA389C" w:rsidRDefault="00AA389C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046976">
              <w:rPr>
                <w:sz w:val="22"/>
                <w:szCs w:val="22"/>
                <w:lang w:val="en-US"/>
              </w:rPr>
              <w:t>5.3.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046976">
              <w:rPr>
                <w:sz w:val="22"/>
                <w:szCs w:val="22"/>
                <w:lang w:val="en-US"/>
              </w:rPr>
              <w:t>Испытание повышенным напряжением</w:t>
            </w:r>
          </w:p>
        </w:tc>
      </w:tr>
      <w:tr w:rsidR="00046976">
        <w:trPr>
          <w:cantSplit/>
        </w:trPr>
        <w:tc>
          <w:tcPr>
            <w:tcW w:w="900" w:type="dxa"/>
            <w:vMerge/>
          </w:tcPr>
          <w:p w:rsidR="00046976" w:rsidRDefault="0004697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5.4. Снятие характеристик намагничивания</w:t>
            </w:r>
          </w:p>
        </w:tc>
      </w:tr>
      <w:tr w:rsidR="00046976">
        <w:trPr>
          <w:cantSplit/>
        </w:trPr>
        <w:tc>
          <w:tcPr>
            <w:tcW w:w="900" w:type="dxa"/>
            <w:vMerge/>
          </w:tcPr>
          <w:p w:rsidR="00046976" w:rsidRDefault="0004697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5.5. Измерение коэффициента трансформации</w:t>
            </w:r>
          </w:p>
        </w:tc>
      </w:tr>
      <w:tr w:rsidR="00AA389C">
        <w:trPr>
          <w:cantSplit/>
        </w:trPr>
        <w:tc>
          <w:tcPr>
            <w:tcW w:w="900" w:type="dxa"/>
            <w:vMerge/>
          </w:tcPr>
          <w:p w:rsidR="00AA389C" w:rsidRDefault="00AA389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AA389C" w:rsidRDefault="00AA389C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AA389C" w:rsidRDefault="00AA389C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Трансформаторы напряжения (электромагнитные и </w:t>
            </w:r>
            <w:r w:rsidRPr="00046976">
              <w:rPr>
                <w:sz w:val="22"/>
                <w:szCs w:val="22"/>
              </w:rPr>
              <w:lastRenderedPageBreak/>
              <w:t>емкостные)</w:t>
            </w: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en-US"/>
              </w:rPr>
              <w:t>6.1.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 обмоток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6.2.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Испытание изоляции повышенным напряжением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19.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Аппараты, вторичные цепи и электропроводка на напряжение до 1000 В</w:t>
            </w: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19.1.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19.2.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Испытания повышенным напряжением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19.3.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действия максимальных, минимальных или независимых расцепителей автоматов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19.4.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работы контакторов и автоматов при пониженном напряжении оперативного тока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19.5.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предохранителей, предохранителей-разъединителей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21.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Заземляющие устройства</w:t>
            </w: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коррозионного состояния элементов заземляющего устройства, находящихся в земле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Измерения сопротивления заземляющих устройств электростанций, подстанций и линий электропередачи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напряжения прикосновения (в электроустановках, выполненных по нормам на напряжение прикосновения)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21.5.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Испытание цепи «фаза—ноль» (цепи зануления) в электроустановках напряжением до 1 кВ с глухим заземлением нейтрали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21.6.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выполнения элементов заземляющего устройства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21.7.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соединений заземлителей с заземляемыми элементами, а также естественных заземлителей с заземляющим устройством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21.8.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пробивных предохранителей в установках напряжением до 1 кВ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Силовые кабельные линии</w:t>
            </w: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заземляющего устройства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22.8.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Определение целостности жил кабелей и фазировки кабельных линий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Электроустановки зданий и сооружений</w:t>
            </w:r>
          </w:p>
        </w:tc>
        <w:tc>
          <w:tcPr>
            <w:tcW w:w="8460" w:type="dxa"/>
          </w:tcPr>
          <w:p w:rsidR="00046976" w:rsidRDefault="00046976" w:rsidP="008D69F7">
            <w:pPr>
              <w:ind w:left="72" w:right="72"/>
              <w:rPr>
                <w:sz w:val="22"/>
                <w:szCs w:val="22"/>
                <w:lang w:val="en-US"/>
              </w:rPr>
            </w:pP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Электроустановка здания в целом</w:t>
            </w: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соответствия законченной монтажом электроустановки и технологии выполнения электромонтажных работ проектной документации и нормативной документации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соответствия электромагнитной обстановки в помещениях здания: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в местах, расположенных в непосредственной близости от шин (кабелей) питания –220 (380) В, 50 Гц;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помещениях трансформаторных подстанций, электрощитовых и рядом находящихся помещениях;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местах эксплуатации персональных компьютеров;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точках подключения оборудования к сети электропитания ~ 220(380) В, 50Гц.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29.2.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Распределительные устройства напряжением до 1000 В: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вводные (ВУ) и вводно-распределительные устройства (ВРУ);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главные (ГРЩ) и вторичные распределительные щиты;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групповые, этажные и квартирные щиты и щитки;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отходящие питающие линии;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щиты и щитки для питания: рекламного и наружного освещения, противопожарных устройств, систем диспетчеризации и др.</w:t>
            </w: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29.2.2.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работоспособности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29.2.3.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соответствия электромагнитной обстановки в местах расположения ВУ, ВРУ, ГРЩ и питающих линий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29.3.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Аппараты защиты (защита электрических сетей напряжением до 1 кВ)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29.3.1.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надежности срабатывания аппаратов защиты при системе питания с заземленной нейтралью (</w:t>
            </w:r>
            <w:r>
              <w:rPr>
                <w:sz w:val="22"/>
                <w:szCs w:val="22"/>
                <w:lang w:val="en-US"/>
              </w:rPr>
              <w:t>TN</w:t>
            </w:r>
            <w:r w:rsidRPr="0004697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</w:t>
            </w:r>
            <w:r w:rsidRPr="0004697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TN</w:t>
            </w:r>
            <w:r w:rsidRPr="0004697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</w:t>
            </w:r>
            <w:r w:rsidRPr="0004697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S</w:t>
            </w:r>
            <w:r w:rsidRPr="0004697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TN</w:t>
            </w:r>
            <w:r w:rsidRPr="0004697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S</w:t>
            </w:r>
            <w:r w:rsidRPr="00046976">
              <w:rPr>
                <w:sz w:val="22"/>
                <w:szCs w:val="22"/>
              </w:rPr>
              <w:t>) и непрерывности защитного проводника (РЕ);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29.3.2. Измерение тока короткого замыкания;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29.3.3. Измерение полного сопротивления петли «фаза-нуль»;</w:t>
            </w:r>
          </w:p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29.3.4. Измерение времени отключения.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29.3.2.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тока короткого замыкания;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29.3.3.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полного сопротивления петли «фаза-нуль»;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29.3.4.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времени отключения.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29.4.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Автоматические выключатели</w:t>
            </w: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29.4.1.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тока и времени срабатывания расцепителей перегрузки и короткого замыкания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29.5.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Автоматические выключатели дифференциального тока (УЗО)</w:t>
            </w: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29.5.1.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срабатывания и несрабатывания расцепителей при дифференциальном отключающем токе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29.6.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Устройства автоматического включения резервного питания</w:t>
            </w: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29.6.1.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работоспособности путем поочередного отключения вводов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en-US"/>
              </w:rPr>
              <w:t>29.7.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Кабельные линии внутри здания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29.7.1.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сопротивления изоляции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29.7.2. Проверка заземляющего устройства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29.7.3. Испытание напряжением переменного тока частотой 50 Гц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29.7.2.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заземляющего устройства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29.7.3.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Испытание напряжением переменного тока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29.8.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Электропроводки силовые и осветительные (питающие, распределительные и групповые сети)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29.8.1.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сопротивления изоляции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29.8.2. Испытание повышенным напряжением переменного тока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29.8.2.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Испытание повышенным напряжением переменного тока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29.9.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Вторичные цепи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29.9.1.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сопротивления изоляции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29.9.2. Испытание повышенным напряжением переменного тока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29.9.2.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Испытание повышенным напряжением переменного тока частотой 50 Гц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29.10.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Измерительные и понижающие трансформаторы</w:t>
            </w: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29.10.1.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сопротивления изоляции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29.11.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Внутреннее освещение: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осветительная арматура и патроны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29.11.1.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сопротивления изоляции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29.11.2. Проверка качества крепления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29.11.3. Измерение освещенности и других светотехнических параметров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29.11.2.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29.11.3.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освещенности и других светотехнических параметров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29.12.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Электроустановочные изделия</w:t>
            </w: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29.13.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Наружное освещение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29.13.1.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сопротивления изоляции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29.13.2. Проверка качества крепления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29.13.3. Измерение освещенности и других светотехнических параметров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29.13.2.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046976" w:rsidRPr="00046976" w:rsidTr="00D232F4">
        <w:trPr>
          <w:cantSplit/>
          <w:trHeight w:val="516"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bookmarkStart w:id="0" w:name="_GoBack" w:colFirst="2" w:colLast="2"/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29.13.3.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освещенности и других светотехнических параметров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bookmarkEnd w:id="0"/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29.14.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Рекламное освещение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29.14.1.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сопротивления изоляции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29.14.2. Проверка качества крепления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29.14.3. Измерение освещенности и других светотехнических параметров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29.14.2.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Проверка качества крепления</w:t>
            </w:r>
          </w:p>
        </w:tc>
      </w:tr>
      <w:tr w:rsidR="00046976" w:rsidRPr="00046976" w:rsidTr="00041C1C">
        <w:trPr>
          <w:cantSplit/>
          <w:trHeight w:val="516"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29.14.3.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Измерение освещенности и других светотехнических параметров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en-US"/>
              </w:rPr>
              <w:t>29.15.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Заземляющие устройства. Системы уравнивания потенциалов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29.15.1.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 xml:space="preserve">Измерения сопротивления заземляющих устройств   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29.15.2. Испытание цепи «фаза—ноль»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29.15.3. Проверка выполнения элементов заземляющего устройства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29.15.2.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Испытание цепи «фаза—ноль»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29.15.3.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выполнения элементов заземляющего устройства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29.16.</w:t>
            </w:r>
          </w:p>
        </w:tc>
        <w:tc>
          <w:tcPr>
            <w:tcW w:w="5220" w:type="dxa"/>
            <w:vMerge w:val="restart"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Системы молниезащиты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29.16.1.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Визуальный контроль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29.16.2. Проверка наличия цепи между элементами молниезащиты</w:t>
            </w:r>
          </w:p>
        </w:tc>
      </w:tr>
      <w:tr w:rsidR="00046976" w:rsidRPr="00046976" w:rsidTr="00DA795D">
        <w:trPr>
          <w:cantSplit/>
          <w:trHeight w:val="516"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29.16.2.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наличия цепи между элементами молниезащиты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 w:val="restart"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</w:t>
            </w:r>
          </w:p>
        </w:tc>
        <w:tc>
          <w:tcPr>
            <w:tcW w:w="5220" w:type="dxa"/>
            <w:vMerge w:val="restart"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Контактные соединения: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опрессованные контактные соединения;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контактные соединения, выполненные с применением овальных соединительных зажимов;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болтовые контактные соединения;</w:t>
            </w:r>
          </w:p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- аппаратные зажимы;</w:t>
            </w:r>
          </w:p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сварные контактные соединения.</w:t>
            </w:r>
          </w:p>
        </w:tc>
        <w:tc>
          <w:tcPr>
            <w:tcW w:w="8460" w:type="dxa"/>
          </w:tcPr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29.17.1.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Визуальный и измерительный контроль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29.17.2. Проверка затяжки болтовых контактных соединений (плашечных, петлевых переходных, соединительных переходных, ответвительных, аппаратных зажимов)</w:t>
            </w:r>
          </w:p>
          <w:p w:rsidR="00046976" w:rsidRPr="00046976" w:rsidRDefault="00046976" w:rsidP="008D69F7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29.17.3. Измерение переходных сопротивлений</w:t>
            </w:r>
          </w:p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>29.17.4. Тепловизионный контроль</w:t>
            </w:r>
          </w:p>
        </w:tc>
      </w:tr>
      <w:tr w:rsidR="00046976" w:rsidRP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Pr="00046976" w:rsidRDefault="00046976" w:rsidP="00046976">
            <w:pPr>
              <w:ind w:left="72" w:right="72"/>
              <w:rPr>
                <w:sz w:val="22"/>
                <w:szCs w:val="22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29.17.2.</w:t>
            </w:r>
            <w:r w:rsidRPr="00046976">
              <w:rPr>
                <w:sz w:val="22"/>
                <w:szCs w:val="22"/>
              </w:rPr>
              <w:t xml:space="preserve"> </w:t>
            </w:r>
            <w:r w:rsidRPr="00046976">
              <w:rPr>
                <w:sz w:val="22"/>
                <w:szCs w:val="22"/>
              </w:rPr>
              <w:t>Проверка затяжки болтовых контактных соединений (плашечных, петлевых переходных, соединительных переходных, ответвительных, аппаратных зажимов)</w:t>
            </w:r>
          </w:p>
        </w:tc>
      </w:tr>
      <w:tr w:rsidR="00046976" w:rsidTr="008D69F7">
        <w:trPr>
          <w:cantSplit/>
        </w:trPr>
        <w:tc>
          <w:tcPr>
            <w:tcW w:w="900" w:type="dxa"/>
            <w:vMerge/>
          </w:tcPr>
          <w:p w:rsidR="00046976" w:rsidRPr="00046976" w:rsidRDefault="00046976" w:rsidP="008D69F7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vMerge/>
          </w:tcPr>
          <w:p w:rsidR="00046976" w:rsidRPr="00046976" w:rsidRDefault="00046976" w:rsidP="008D69F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 w:rsidRPr="000469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Измерение переходных сопротивлений</w:t>
            </w:r>
          </w:p>
        </w:tc>
      </w:tr>
      <w:tr w:rsidR="00046976" w:rsidTr="00027C46">
        <w:trPr>
          <w:cantSplit/>
          <w:trHeight w:val="516"/>
        </w:trPr>
        <w:tc>
          <w:tcPr>
            <w:tcW w:w="900" w:type="dxa"/>
            <w:vMerge/>
          </w:tcPr>
          <w:p w:rsidR="00046976" w:rsidRDefault="00046976" w:rsidP="008D69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vMerge/>
          </w:tcPr>
          <w:p w:rsidR="00046976" w:rsidRDefault="00046976" w:rsidP="008D69F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8460" w:type="dxa"/>
          </w:tcPr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29.17.4.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Тепловизионный контроль</w:t>
            </w:r>
          </w:p>
          <w:p w:rsidR="00046976" w:rsidRDefault="00046976" w:rsidP="00046976">
            <w:pPr>
              <w:ind w:left="72" w:right="7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A389C" w:rsidRDefault="00AA389C">
      <w:pPr>
        <w:rPr>
          <w:lang w:val="en-US"/>
        </w:rPr>
      </w:pPr>
    </w:p>
    <w:p w:rsidR="00AA389C" w:rsidRDefault="00AA389C" w:rsidP="00046976">
      <w:pPr>
        <w:rPr>
          <w:lang w:val="en-US"/>
        </w:rPr>
      </w:pPr>
    </w:p>
    <w:p w:rsidR="00AA389C" w:rsidRDefault="00AA389C">
      <w:pPr>
        <w:rPr>
          <w:lang w:val="en-US"/>
        </w:rPr>
      </w:pPr>
    </w:p>
    <w:p w:rsidR="00EE745C" w:rsidRPr="00E36A1D" w:rsidRDefault="00EE745C" w:rsidP="00EE745C">
      <w:pPr>
        <w:ind w:left="4320"/>
        <w:rPr>
          <w:lang w:val="en-US"/>
        </w:rPr>
      </w:pPr>
      <w:r w:rsidRPr="007A4EFD">
        <w:t>Председатель</w:t>
      </w:r>
      <w:r w:rsidRPr="00E36A1D">
        <w:rPr>
          <w:lang w:val="en-US"/>
        </w:rPr>
        <w:t xml:space="preserve"> </w:t>
      </w:r>
      <w:r w:rsidRPr="007A4EFD">
        <w:t>комиссии</w:t>
      </w:r>
      <w:r w:rsidRPr="00E36A1D">
        <w:rPr>
          <w:lang w:val="en-US"/>
        </w:rPr>
        <w:t>:</w:t>
      </w:r>
      <w:r w:rsidRPr="00E36A1D">
        <w:rPr>
          <w:lang w:val="en-US"/>
        </w:rPr>
        <w:tab/>
      </w:r>
      <w:r w:rsidR="00046976">
        <w:rPr>
          <w:lang w:val="en-US"/>
        </w:rPr>
        <w:t>Н.Н. Коновалов</w:t>
      </w:r>
    </w:p>
    <w:p w:rsidR="00EE745C" w:rsidRPr="00E36A1D" w:rsidRDefault="00EE745C" w:rsidP="00EE745C">
      <w:pPr>
        <w:rPr>
          <w:lang w:val="en-US"/>
        </w:rPr>
      </w:pPr>
    </w:p>
    <w:p w:rsidR="00EE745C" w:rsidRPr="007A4EFD" w:rsidRDefault="00EE745C" w:rsidP="00EE745C">
      <w:pPr>
        <w:ind w:left="4320"/>
      </w:pPr>
      <w:r w:rsidRPr="007A4EFD">
        <w:t>Секретарь комиссии</w:t>
      </w:r>
      <w:r w:rsidRPr="007A4EFD">
        <w:rPr>
          <w:lang w:val="en-US"/>
        </w:rPr>
        <w:t>:</w:t>
      </w:r>
      <w:r w:rsidRPr="007A4EFD">
        <w:tab/>
      </w:r>
      <w:r w:rsidR="00046976">
        <w:t>В.С. Вершинин</w:t>
      </w:r>
    </w:p>
    <w:p w:rsidR="008C53CE" w:rsidRDefault="008C53CE" w:rsidP="008C53CE">
      <w:pPr>
        <w:rPr>
          <w:lang w:val="en-US"/>
        </w:rPr>
      </w:pPr>
    </w:p>
    <w:sectPr w:rsidR="008C53CE" w:rsidSect="00AE23F1">
      <w:headerReference w:type="default" r:id="rId8"/>
      <w:pgSz w:w="16838" w:h="11906" w:orient="landscape" w:code="9"/>
      <w:pgMar w:top="131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0D" w:rsidRDefault="0048330D">
      <w:r>
        <w:separator/>
      </w:r>
    </w:p>
  </w:endnote>
  <w:endnote w:type="continuationSeparator" w:id="0">
    <w:p w:rsidR="0048330D" w:rsidRDefault="0048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0D" w:rsidRDefault="0048330D">
      <w:r>
        <w:separator/>
      </w:r>
    </w:p>
  </w:footnote>
  <w:footnote w:type="continuationSeparator" w:id="0">
    <w:p w:rsidR="0048330D" w:rsidRDefault="0048330D">
      <w:r>
        <w:continuationSeparator/>
      </w:r>
    </w:p>
  </w:footnote>
  <w:footnote w:id="1">
    <w:p w:rsidR="00E36A1D" w:rsidRDefault="00E36A1D">
      <w:pPr>
        <w:pStyle w:val="a6"/>
      </w:pPr>
      <w:r>
        <w:rPr>
          <w:rStyle w:val="a7"/>
        </w:rPr>
        <w:t>1</w:t>
      </w:r>
      <w:r>
        <w:t xml:space="preserve"> 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F1" w:rsidRDefault="00AE23F1" w:rsidP="00AE23F1">
    <w:pPr>
      <w:pStyle w:val="a5"/>
      <w:jc w:val="right"/>
    </w:pPr>
    <w:r>
      <w:t xml:space="preserve">Страница </w:t>
    </w: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046976">
      <w:rPr>
        <w:rStyle w:val="ab"/>
        <w:noProof/>
      </w:rPr>
      <w:t>2</w:t>
    </w:r>
    <w:r>
      <w:rPr>
        <w:rStyle w:val="ab"/>
      </w:rPr>
      <w:fldChar w:fldCharType="end"/>
    </w:r>
    <w:r>
      <w:rPr>
        <w:rStyle w:val="ab"/>
      </w:rPr>
      <w:t xml:space="preserve"> из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046976">
      <w:rPr>
        <w:rStyle w:val="ab"/>
        <w:noProof/>
      </w:rPr>
      <w:t>5</w:t>
    </w:r>
    <w:r>
      <w:rPr>
        <w:rStyle w:val="ab"/>
      </w:rPr>
      <w:fldChar w:fldCharType="end"/>
    </w:r>
  </w:p>
  <w:p w:rsidR="00AE23F1" w:rsidRDefault="00AE23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2DA1"/>
    <w:multiLevelType w:val="hybridMultilevel"/>
    <w:tmpl w:val="DB8ADAE0"/>
    <w:lvl w:ilvl="0" w:tplc="55C8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7F2422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25C11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340677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8EB4BB0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45CF5271"/>
    <w:multiLevelType w:val="hybridMultilevel"/>
    <w:tmpl w:val="85885982"/>
    <w:lvl w:ilvl="0" w:tplc="0D4EC21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A465B5"/>
    <w:multiLevelType w:val="hybridMultilevel"/>
    <w:tmpl w:val="A49A3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C07469"/>
    <w:multiLevelType w:val="hybridMultilevel"/>
    <w:tmpl w:val="50B0D42C"/>
    <w:lvl w:ilvl="0" w:tplc="CB6EDD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BD5FB3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5BE079C4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6FE45B7D"/>
    <w:multiLevelType w:val="singleLevel"/>
    <w:tmpl w:val="9218158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71713D9C"/>
    <w:multiLevelType w:val="hybridMultilevel"/>
    <w:tmpl w:val="EF728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A53A1D"/>
    <w:multiLevelType w:val="hybridMultilevel"/>
    <w:tmpl w:val="F4C83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52"/>
    <w:rsid w:val="00046976"/>
    <w:rsid w:val="00073208"/>
    <w:rsid w:val="0048330D"/>
    <w:rsid w:val="0049336F"/>
    <w:rsid w:val="006E1488"/>
    <w:rsid w:val="0074080D"/>
    <w:rsid w:val="008C53CE"/>
    <w:rsid w:val="00921852"/>
    <w:rsid w:val="00A81A60"/>
    <w:rsid w:val="00AA389C"/>
    <w:rsid w:val="00AE23F1"/>
    <w:rsid w:val="00D87F56"/>
    <w:rsid w:val="00E36A1D"/>
    <w:rsid w:val="00E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2049"/>
      </w:tabs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Body Text"/>
    <w:basedOn w:val="a"/>
    <w:pPr>
      <w:autoSpaceDE w:val="0"/>
      <w:autoSpaceDN w:val="0"/>
      <w:jc w:val="center"/>
    </w:pPr>
    <w:rPr>
      <w:sz w:val="28"/>
      <w:szCs w:val="28"/>
    </w:rPr>
  </w:style>
  <w:style w:type="paragraph" w:styleId="aa">
    <w:name w:val="footer"/>
    <w:basedOn w:val="a"/>
    <w:rsid w:val="00AE23F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E23F1"/>
  </w:style>
  <w:style w:type="paragraph" w:styleId="ac">
    <w:name w:val="Document Map"/>
    <w:basedOn w:val="a"/>
    <w:semiHidden/>
    <w:rsid w:val="008C53C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2049"/>
      </w:tabs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Body Text"/>
    <w:basedOn w:val="a"/>
    <w:pPr>
      <w:autoSpaceDE w:val="0"/>
      <w:autoSpaceDN w:val="0"/>
      <w:jc w:val="center"/>
    </w:pPr>
    <w:rPr>
      <w:sz w:val="28"/>
      <w:szCs w:val="28"/>
    </w:rPr>
  </w:style>
  <w:style w:type="paragraph" w:styleId="aa">
    <w:name w:val="footer"/>
    <w:basedOn w:val="a"/>
    <w:rsid w:val="00AE23F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E23F1"/>
  </w:style>
  <w:style w:type="paragraph" w:styleId="ac">
    <w:name w:val="Document Map"/>
    <w:basedOn w:val="a"/>
    <w:semiHidden/>
    <w:rsid w:val="008C53C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НТЦ</Company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Surkova</dc:creator>
  <cp:lastModifiedBy>Surkova</cp:lastModifiedBy>
  <cp:revision>1</cp:revision>
  <cp:lastPrinted>2007-12-11T10:30:00Z</cp:lastPrinted>
  <dcterms:created xsi:type="dcterms:W3CDTF">2025-12-26T09:03:00Z</dcterms:created>
  <dcterms:modified xsi:type="dcterms:W3CDTF">2025-12-26T09:09:00Z</dcterms:modified>
</cp:coreProperties>
</file>